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2AE" w:rsidRPr="007F326A" w:rsidRDefault="006F19B2" w:rsidP="003212AE">
      <w:pPr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328930</wp:posOffset>
            </wp:positionV>
            <wp:extent cx="2327910" cy="995680"/>
            <wp:effectExtent l="19050" t="0" r="0" b="0"/>
            <wp:wrapSquare wrapText="left"/>
            <wp:docPr id="4" name="Imagen 8" descr="D:\EVENTOS QUE SE ESTÁN TRABAJANDO\CELAC 25 - 29 ENERO 2014\LOGOS\IDENTIFICADOR CELAC.jpg (IZQUIERDA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D:\EVENTOS QUE SE ESTÁN TRABAJANDO\CELAC 25 - 29 ENERO 2014\LOGOS\IDENTIFICADOR CELAC.jpg (IZQUIERDA)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10" cy="99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176530</wp:posOffset>
            </wp:positionV>
            <wp:extent cx="1301750" cy="1463040"/>
            <wp:effectExtent l="19050" t="0" r="0" b="0"/>
            <wp:wrapSquare wrapText="right"/>
            <wp:docPr id="3" name="Imagen 9" descr="D:\EVENTOS QUE SE ESTÁN TRABAJANDO\CELAC 25 - 29 ENERO 2014\LOGOS\logo celac-2.jpg (DERECHA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D:\EVENTOS QUE SE ESTÁN TRABAJANDO\CELAC 25 - 29 ENERO 2014\LOGOS\logo celac-2.jpg (DERECHA)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1202" w:rsidRPr="007F326A" w:rsidRDefault="00921202" w:rsidP="003212AE">
      <w:pPr>
        <w:rPr>
          <w:rFonts w:cs="Arial"/>
          <w:sz w:val="24"/>
          <w:szCs w:val="24"/>
        </w:rPr>
      </w:pPr>
    </w:p>
    <w:p w:rsidR="003212AE" w:rsidRPr="007F326A" w:rsidRDefault="003212AE" w:rsidP="003212AE">
      <w:pPr>
        <w:rPr>
          <w:rFonts w:cs="Arial"/>
          <w:sz w:val="24"/>
          <w:szCs w:val="24"/>
        </w:rPr>
      </w:pPr>
    </w:p>
    <w:p w:rsidR="003212AE" w:rsidRPr="007F326A" w:rsidRDefault="003212AE" w:rsidP="003212AE">
      <w:pPr>
        <w:rPr>
          <w:rFonts w:cs="Arial"/>
          <w:sz w:val="24"/>
          <w:szCs w:val="24"/>
        </w:rPr>
      </w:pPr>
    </w:p>
    <w:p w:rsidR="003212AE" w:rsidRPr="007F326A" w:rsidRDefault="003212AE" w:rsidP="003212AE">
      <w:pPr>
        <w:rPr>
          <w:rFonts w:cs="Arial"/>
          <w:sz w:val="24"/>
          <w:szCs w:val="24"/>
        </w:rPr>
      </w:pPr>
    </w:p>
    <w:p w:rsidR="003212AE" w:rsidRPr="007F326A" w:rsidRDefault="003212AE" w:rsidP="003212AE">
      <w:pPr>
        <w:rPr>
          <w:rFonts w:cs="Arial"/>
          <w:sz w:val="24"/>
          <w:szCs w:val="24"/>
        </w:rPr>
      </w:pPr>
    </w:p>
    <w:p w:rsidR="003212AE" w:rsidRPr="007F326A" w:rsidRDefault="003212AE" w:rsidP="003212AE">
      <w:pPr>
        <w:rPr>
          <w:rFonts w:cs="Arial"/>
          <w:sz w:val="24"/>
          <w:szCs w:val="24"/>
        </w:rPr>
      </w:pPr>
    </w:p>
    <w:p w:rsidR="003212AE" w:rsidRPr="007F326A" w:rsidRDefault="003212AE" w:rsidP="003212AE">
      <w:pPr>
        <w:rPr>
          <w:rFonts w:cs="Arial"/>
          <w:sz w:val="24"/>
          <w:szCs w:val="24"/>
        </w:rPr>
      </w:pPr>
    </w:p>
    <w:p w:rsidR="003212AE" w:rsidRPr="007F326A" w:rsidRDefault="003212AE" w:rsidP="003212AE">
      <w:pPr>
        <w:rPr>
          <w:rFonts w:cs="Arial"/>
          <w:sz w:val="24"/>
          <w:szCs w:val="24"/>
        </w:rPr>
      </w:pPr>
    </w:p>
    <w:p w:rsidR="00CD27B0" w:rsidRPr="007F326A" w:rsidRDefault="00CD27B0" w:rsidP="003212AE">
      <w:pPr>
        <w:rPr>
          <w:rFonts w:cs="Arial"/>
          <w:sz w:val="24"/>
          <w:szCs w:val="24"/>
        </w:rPr>
      </w:pPr>
    </w:p>
    <w:p w:rsidR="003B0A25" w:rsidRPr="007F326A" w:rsidRDefault="003B0A25" w:rsidP="001955AF">
      <w:pPr>
        <w:jc w:val="center"/>
        <w:rPr>
          <w:rFonts w:cs="Arial"/>
          <w:sz w:val="24"/>
          <w:szCs w:val="24"/>
        </w:rPr>
      </w:pPr>
      <w:r w:rsidRPr="007F326A">
        <w:rPr>
          <w:rFonts w:cs="Arial"/>
          <w:b/>
          <w:sz w:val="24"/>
          <w:szCs w:val="24"/>
        </w:rPr>
        <w:t>DECLARACIÓN ESPECIAL</w:t>
      </w:r>
      <w:r w:rsidR="00402CCD">
        <w:rPr>
          <w:rFonts w:cs="Arial"/>
          <w:b/>
          <w:sz w:val="24"/>
          <w:szCs w:val="24"/>
        </w:rPr>
        <w:t xml:space="preserve"> </w:t>
      </w:r>
      <w:r w:rsidRPr="007F326A">
        <w:rPr>
          <w:rFonts w:cs="Arial"/>
          <w:b/>
          <w:sz w:val="24"/>
          <w:szCs w:val="24"/>
        </w:rPr>
        <w:t>SOBRE CAMBIO CLIMÁTICO Y GESTIÓN INTEGRADA DE RIESGO DE DESASTRES</w:t>
      </w:r>
    </w:p>
    <w:p w:rsidR="00F63935" w:rsidRPr="007F326A" w:rsidRDefault="00F63935" w:rsidP="00F63935">
      <w:pPr>
        <w:jc w:val="both"/>
        <w:rPr>
          <w:rFonts w:cs="Arial"/>
          <w:sz w:val="24"/>
          <w:szCs w:val="24"/>
        </w:rPr>
      </w:pPr>
    </w:p>
    <w:p w:rsidR="00F63935" w:rsidRPr="007F326A" w:rsidRDefault="00F63935" w:rsidP="00F63935">
      <w:pPr>
        <w:jc w:val="both"/>
        <w:rPr>
          <w:rFonts w:cs="Arial"/>
          <w:sz w:val="24"/>
          <w:szCs w:val="24"/>
        </w:rPr>
      </w:pPr>
      <w:r w:rsidRPr="007F326A">
        <w:rPr>
          <w:rStyle w:val="hps"/>
          <w:rFonts w:cs="Arial"/>
          <w:sz w:val="24"/>
          <w:szCs w:val="24"/>
        </w:rPr>
        <w:t>L</w:t>
      </w:r>
      <w:r w:rsidR="00A833C6" w:rsidRPr="007F326A">
        <w:rPr>
          <w:rStyle w:val="hps"/>
          <w:rFonts w:cs="Arial"/>
          <w:sz w:val="24"/>
          <w:szCs w:val="24"/>
        </w:rPr>
        <w:t>as Jefa</w:t>
      </w:r>
      <w:r w:rsidRPr="007F326A">
        <w:rPr>
          <w:rStyle w:val="hps"/>
          <w:rFonts w:cs="Arial"/>
          <w:sz w:val="24"/>
          <w:szCs w:val="24"/>
        </w:rPr>
        <w:t>s y l</w:t>
      </w:r>
      <w:r w:rsidR="00A833C6" w:rsidRPr="007F326A">
        <w:rPr>
          <w:rStyle w:val="hps"/>
          <w:rFonts w:cs="Arial"/>
          <w:sz w:val="24"/>
          <w:szCs w:val="24"/>
        </w:rPr>
        <w:t>os Jefe</w:t>
      </w:r>
      <w:r w:rsidRPr="007F326A">
        <w:rPr>
          <w:rStyle w:val="hps"/>
          <w:rFonts w:cs="Arial"/>
          <w:sz w:val="24"/>
          <w:szCs w:val="24"/>
        </w:rPr>
        <w:t>s de Estado y de Gobierno de América Latina y el Caribe, reunidos en La Habana, Cuba, en ocasión de la II Cumbre de la Comunidad de Estados Latinoamericanos y Caribeños (CELAC), celebrada los días 28 y 29 de enero de 2014,</w:t>
      </w:r>
    </w:p>
    <w:p w:rsidR="00F63935" w:rsidRPr="007F326A" w:rsidRDefault="00F63935" w:rsidP="00F63935">
      <w:pPr>
        <w:rPr>
          <w:rFonts w:cs="Arial"/>
          <w:sz w:val="24"/>
          <w:szCs w:val="24"/>
        </w:rPr>
      </w:pPr>
    </w:p>
    <w:p w:rsidR="003B0A25" w:rsidRPr="007F326A" w:rsidRDefault="003B0A25" w:rsidP="00F63935">
      <w:pPr>
        <w:tabs>
          <w:tab w:val="left" w:pos="426"/>
        </w:tabs>
        <w:suppressAutoHyphens/>
        <w:jc w:val="both"/>
        <w:rPr>
          <w:rFonts w:cs="Arial"/>
          <w:sz w:val="24"/>
          <w:szCs w:val="24"/>
        </w:rPr>
      </w:pPr>
      <w:r w:rsidRPr="007F326A">
        <w:rPr>
          <w:rFonts w:cs="Arial"/>
          <w:sz w:val="24"/>
          <w:szCs w:val="24"/>
          <w:lang w:val="es-MX"/>
        </w:rPr>
        <w:t xml:space="preserve">Convencidos de que el cambio climático es uno de los </w:t>
      </w:r>
      <w:r w:rsidRPr="007F326A">
        <w:rPr>
          <w:rFonts w:cs="Arial"/>
          <w:bCs/>
          <w:sz w:val="24"/>
          <w:szCs w:val="24"/>
          <w:lang w:val="es-MX"/>
        </w:rPr>
        <w:t>principales</w:t>
      </w:r>
      <w:r w:rsidRPr="007F326A">
        <w:rPr>
          <w:rFonts w:cs="Arial"/>
          <w:sz w:val="24"/>
          <w:szCs w:val="24"/>
          <w:lang w:val="es-MX"/>
        </w:rPr>
        <w:t xml:space="preserve"> problemas de nuestro tiempo y</w:t>
      </w:r>
      <w:r w:rsidRPr="007F326A">
        <w:rPr>
          <w:rFonts w:cs="Arial"/>
          <w:bCs/>
          <w:sz w:val="24"/>
          <w:szCs w:val="24"/>
          <w:lang w:val="es-MX"/>
        </w:rPr>
        <w:t xml:space="preserve"> que su naturaleza global requiere soluciones cooperativas también globales,</w:t>
      </w:r>
    </w:p>
    <w:p w:rsidR="003B0A25" w:rsidRPr="007F326A" w:rsidRDefault="003B0A25" w:rsidP="00B356D2">
      <w:pPr>
        <w:tabs>
          <w:tab w:val="left" w:pos="426"/>
        </w:tabs>
        <w:ind w:left="426" w:hanging="426"/>
        <w:jc w:val="both"/>
        <w:rPr>
          <w:rFonts w:cs="Arial"/>
          <w:sz w:val="24"/>
          <w:szCs w:val="24"/>
        </w:rPr>
      </w:pPr>
    </w:p>
    <w:p w:rsidR="003B0A25" w:rsidRPr="00F2119E" w:rsidRDefault="003B0A25" w:rsidP="00402CCD">
      <w:pPr>
        <w:numPr>
          <w:ilvl w:val="0"/>
          <w:numId w:val="4"/>
        </w:numPr>
        <w:tabs>
          <w:tab w:val="left" w:pos="426"/>
        </w:tabs>
        <w:suppressAutoHyphens/>
        <w:ind w:left="426" w:hanging="426"/>
        <w:jc w:val="both"/>
        <w:rPr>
          <w:rFonts w:cs="Arial"/>
          <w:sz w:val="24"/>
          <w:szCs w:val="24"/>
        </w:rPr>
      </w:pPr>
      <w:r w:rsidRPr="00F2119E">
        <w:rPr>
          <w:rFonts w:cs="Arial"/>
          <w:sz w:val="24"/>
          <w:szCs w:val="24"/>
        </w:rPr>
        <w:t>Reafirman sus compromisos en relación con la cuestión del cambio climático y la preparación para casos de desastre establecidos durante la I Cumbre de la CELAC</w:t>
      </w:r>
      <w:r w:rsidR="00F63935" w:rsidRPr="00F2119E">
        <w:rPr>
          <w:rFonts w:cs="Arial"/>
          <w:sz w:val="24"/>
          <w:szCs w:val="24"/>
        </w:rPr>
        <w:t xml:space="preserve">, </w:t>
      </w:r>
      <w:r w:rsidRPr="00F2119E">
        <w:rPr>
          <w:rFonts w:cs="Arial"/>
          <w:sz w:val="24"/>
          <w:szCs w:val="24"/>
        </w:rPr>
        <w:t xml:space="preserve"> celebrada en Santiago de Chile en enero de 2013</w:t>
      </w:r>
      <w:r w:rsidR="00F63935" w:rsidRPr="00F2119E">
        <w:rPr>
          <w:rFonts w:cs="Arial"/>
          <w:sz w:val="24"/>
          <w:szCs w:val="24"/>
        </w:rPr>
        <w:t xml:space="preserve">; </w:t>
      </w:r>
    </w:p>
    <w:p w:rsidR="003B0A25" w:rsidRPr="00F2119E" w:rsidRDefault="003B0A25" w:rsidP="00402CCD">
      <w:pPr>
        <w:tabs>
          <w:tab w:val="left" w:pos="426"/>
        </w:tabs>
        <w:ind w:left="426" w:hanging="426"/>
        <w:jc w:val="both"/>
        <w:rPr>
          <w:rFonts w:cs="Arial"/>
          <w:sz w:val="24"/>
          <w:szCs w:val="24"/>
        </w:rPr>
      </w:pPr>
    </w:p>
    <w:p w:rsidR="003B0A25" w:rsidRPr="00F2119E" w:rsidRDefault="003B0A25" w:rsidP="00402CCD">
      <w:pPr>
        <w:numPr>
          <w:ilvl w:val="0"/>
          <w:numId w:val="4"/>
        </w:numPr>
        <w:tabs>
          <w:tab w:val="left" w:pos="426"/>
        </w:tabs>
        <w:suppressAutoHyphens/>
        <w:ind w:left="426" w:hanging="426"/>
        <w:jc w:val="both"/>
        <w:rPr>
          <w:rFonts w:cs="Arial"/>
          <w:sz w:val="24"/>
          <w:szCs w:val="24"/>
        </w:rPr>
      </w:pPr>
      <w:r w:rsidRPr="00F2119E">
        <w:rPr>
          <w:rFonts w:cs="Arial"/>
          <w:sz w:val="24"/>
          <w:szCs w:val="24"/>
        </w:rPr>
        <w:t xml:space="preserve">Toman nota de las decisiones adoptadas durante la </w:t>
      </w:r>
      <w:r w:rsidR="00F63935" w:rsidRPr="00F2119E">
        <w:rPr>
          <w:rFonts w:cs="Arial"/>
          <w:sz w:val="24"/>
          <w:szCs w:val="24"/>
        </w:rPr>
        <w:t xml:space="preserve">19 </w:t>
      </w:r>
      <w:r w:rsidRPr="00F2119E">
        <w:rPr>
          <w:rFonts w:cs="Arial"/>
          <w:sz w:val="24"/>
          <w:szCs w:val="24"/>
        </w:rPr>
        <w:t>Conferencia de las Partes</w:t>
      </w:r>
      <w:r w:rsidR="00F63935" w:rsidRPr="00F2119E">
        <w:rPr>
          <w:rFonts w:cs="Arial"/>
          <w:sz w:val="24"/>
          <w:szCs w:val="24"/>
        </w:rPr>
        <w:t xml:space="preserve"> de</w:t>
      </w:r>
      <w:r w:rsidRPr="00F2119E">
        <w:rPr>
          <w:rFonts w:cs="Arial"/>
          <w:sz w:val="24"/>
          <w:szCs w:val="24"/>
        </w:rPr>
        <w:t xml:space="preserve"> la Convención Marco de las Naciones Unidas sobre Cambio Climático (CMNUCC) y la </w:t>
      </w:r>
      <w:r w:rsidR="00F63935" w:rsidRPr="00F2119E">
        <w:rPr>
          <w:rFonts w:cs="Arial"/>
          <w:sz w:val="24"/>
          <w:szCs w:val="24"/>
        </w:rPr>
        <w:t>9</w:t>
      </w:r>
      <w:r w:rsidRPr="00F2119E">
        <w:rPr>
          <w:rFonts w:cs="Arial"/>
          <w:sz w:val="24"/>
          <w:szCs w:val="24"/>
        </w:rPr>
        <w:t xml:space="preserve"> </w:t>
      </w:r>
      <w:r w:rsidR="0001420B" w:rsidRPr="00F2119E">
        <w:rPr>
          <w:rFonts w:cs="Arial"/>
          <w:sz w:val="24"/>
          <w:szCs w:val="24"/>
        </w:rPr>
        <w:t xml:space="preserve">Conferencia de las Partes en calidad de Reunión de las Partes </w:t>
      </w:r>
      <w:r w:rsidR="00F63935" w:rsidRPr="00F2119E">
        <w:rPr>
          <w:rFonts w:cs="Arial"/>
          <w:sz w:val="24"/>
          <w:szCs w:val="24"/>
        </w:rPr>
        <w:t>d</w:t>
      </w:r>
      <w:r w:rsidRPr="00F2119E">
        <w:rPr>
          <w:rFonts w:cs="Arial"/>
          <w:sz w:val="24"/>
          <w:szCs w:val="24"/>
        </w:rPr>
        <w:t xml:space="preserve">el Protocolo </w:t>
      </w:r>
      <w:r w:rsidR="00F63935" w:rsidRPr="00F2119E">
        <w:rPr>
          <w:rFonts w:cs="Arial"/>
          <w:sz w:val="24"/>
          <w:szCs w:val="24"/>
        </w:rPr>
        <w:t>de </w:t>
      </w:r>
      <w:proofErr w:type="spellStart"/>
      <w:r w:rsidR="00F63935" w:rsidRPr="00F2119E">
        <w:rPr>
          <w:rFonts w:cs="Arial"/>
          <w:sz w:val="24"/>
          <w:szCs w:val="24"/>
        </w:rPr>
        <w:t>Kyoto</w:t>
      </w:r>
      <w:proofErr w:type="spellEnd"/>
      <w:r w:rsidR="00F63935" w:rsidRPr="00F2119E">
        <w:rPr>
          <w:rFonts w:cs="Arial"/>
          <w:sz w:val="24"/>
          <w:szCs w:val="24"/>
        </w:rPr>
        <w:t xml:space="preserve">, </w:t>
      </w:r>
      <w:r w:rsidRPr="00F2119E">
        <w:rPr>
          <w:rFonts w:cs="Arial"/>
          <w:sz w:val="24"/>
          <w:szCs w:val="24"/>
        </w:rPr>
        <w:t>celebradas e</w:t>
      </w:r>
      <w:r w:rsidR="00F63935" w:rsidRPr="00F2119E">
        <w:rPr>
          <w:rFonts w:cs="Arial"/>
          <w:sz w:val="24"/>
          <w:szCs w:val="24"/>
        </w:rPr>
        <w:t xml:space="preserve">n </w:t>
      </w:r>
      <w:r w:rsidRPr="00F2119E">
        <w:rPr>
          <w:rFonts w:cs="Arial"/>
          <w:sz w:val="24"/>
          <w:szCs w:val="24"/>
        </w:rPr>
        <w:t>noviembre de 2013 en Varsovia, Polonia</w:t>
      </w:r>
      <w:r w:rsidR="00F63935" w:rsidRPr="00F2119E">
        <w:rPr>
          <w:rFonts w:cs="Arial"/>
          <w:sz w:val="24"/>
          <w:szCs w:val="24"/>
        </w:rPr>
        <w:t>;</w:t>
      </w:r>
    </w:p>
    <w:p w:rsidR="003B0A25" w:rsidRPr="00F2119E" w:rsidRDefault="003B0A25" w:rsidP="00402CCD">
      <w:pPr>
        <w:tabs>
          <w:tab w:val="left" w:pos="426"/>
        </w:tabs>
        <w:ind w:hanging="426"/>
        <w:jc w:val="both"/>
        <w:rPr>
          <w:rFonts w:cs="Arial"/>
          <w:sz w:val="24"/>
          <w:szCs w:val="24"/>
        </w:rPr>
      </w:pPr>
    </w:p>
    <w:p w:rsidR="003B0A25" w:rsidRPr="00F2119E" w:rsidRDefault="003B0A25" w:rsidP="00402CCD">
      <w:pPr>
        <w:numPr>
          <w:ilvl w:val="0"/>
          <w:numId w:val="4"/>
        </w:numPr>
        <w:tabs>
          <w:tab w:val="left" w:pos="426"/>
        </w:tabs>
        <w:suppressAutoHyphens/>
        <w:ind w:left="426" w:hanging="426"/>
        <w:jc w:val="both"/>
        <w:rPr>
          <w:rFonts w:cs="Arial"/>
          <w:sz w:val="24"/>
          <w:szCs w:val="24"/>
        </w:rPr>
      </w:pPr>
      <w:r w:rsidRPr="00F2119E">
        <w:rPr>
          <w:rFonts w:cs="Arial"/>
          <w:sz w:val="24"/>
          <w:szCs w:val="24"/>
        </w:rPr>
        <w:t xml:space="preserve">Abogan por unir sus esfuerzos para acelerar la ratificación de la enmienda del segundo período de compromiso del Protocolo de </w:t>
      </w:r>
      <w:proofErr w:type="spellStart"/>
      <w:r w:rsidRPr="00F2119E">
        <w:rPr>
          <w:rFonts w:cs="Arial"/>
          <w:sz w:val="24"/>
          <w:szCs w:val="24"/>
        </w:rPr>
        <w:t>Kyoto</w:t>
      </w:r>
      <w:proofErr w:type="spellEnd"/>
      <w:r w:rsidRPr="00F2119E">
        <w:rPr>
          <w:rFonts w:cs="Arial"/>
          <w:sz w:val="24"/>
          <w:szCs w:val="24"/>
        </w:rPr>
        <w:t xml:space="preserve"> en el marco de la Convención Marco de las Naciones Unidas sobre el Cambio Climático para hacer efectiva su entrada en vigor</w:t>
      </w:r>
      <w:r w:rsidR="00F63935" w:rsidRPr="00F2119E">
        <w:rPr>
          <w:rFonts w:cs="Arial"/>
          <w:sz w:val="24"/>
          <w:szCs w:val="24"/>
        </w:rPr>
        <w:t>;</w:t>
      </w:r>
    </w:p>
    <w:p w:rsidR="003B0A25" w:rsidRPr="00F2119E" w:rsidRDefault="003B0A25" w:rsidP="00402CCD">
      <w:pPr>
        <w:pStyle w:val="Prrafodelista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3B0A25" w:rsidRPr="00F2119E" w:rsidRDefault="003B0A25" w:rsidP="00402CCD">
      <w:pPr>
        <w:numPr>
          <w:ilvl w:val="0"/>
          <w:numId w:val="4"/>
        </w:numPr>
        <w:tabs>
          <w:tab w:val="left" w:pos="426"/>
        </w:tabs>
        <w:suppressAutoHyphens/>
        <w:ind w:left="426" w:hanging="426"/>
        <w:jc w:val="both"/>
        <w:rPr>
          <w:rFonts w:cs="Arial"/>
          <w:sz w:val="24"/>
          <w:szCs w:val="24"/>
        </w:rPr>
      </w:pPr>
      <w:r w:rsidRPr="00F2119E">
        <w:rPr>
          <w:rFonts w:cs="Arial"/>
          <w:bCs/>
          <w:sz w:val="24"/>
          <w:szCs w:val="24"/>
        </w:rPr>
        <w:t>Saludan los progresos de la Sexta Reun</w:t>
      </w:r>
      <w:r w:rsidR="001955AF" w:rsidRPr="00F2119E">
        <w:rPr>
          <w:rFonts w:cs="Arial"/>
          <w:bCs/>
          <w:sz w:val="24"/>
          <w:szCs w:val="24"/>
        </w:rPr>
        <w:t xml:space="preserve">ión Regional sobre Mecanismos </w:t>
      </w:r>
      <w:r w:rsidRPr="00F2119E">
        <w:rPr>
          <w:rFonts w:cs="Arial"/>
          <w:bCs/>
          <w:sz w:val="24"/>
          <w:szCs w:val="24"/>
        </w:rPr>
        <w:t>Internacionales de Asistencia Humanitaria en América Latina y el Caribe, realizada en</w:t>
      </w:r>
      <w:r w:rsidR="001955AF" w:rsidRPr="00F2119E">
        <w:rPr>
          <w:rFonts w:cs="Arial"/>
          <w:bCs/>
          <w:sz w:val="24"/>
          <w:szCs w:val="24"/>
        </w:rPr>
        <w:t> </w:t>
      </w:r>
      <w:r w:rsidRPr="00F2119E">
        <w:rPr>
          <w:rFonts w:cs="Arial"/>
          <w:bCs/>
          <w:sz w:val="24"/>
          <w:szCs w:val="24"/>
        </w:rPr>
        <w:t>Kingston, Jamaica, en octubre de 2013</w:t>
      </w:r>
      <w:r w:rsidR="00F63935" w:rsidRPr="00F2119E">
        <w:rPr>
          <w:rFonts w:cs="Arial"/>
          <w:bCs/>
          <w:sz w:val="24"/>
          <w:szCs w:val="24"/>
        </w:rPr>
        <w:t>;</w:t>
      </w:r>
      <w:r w:rsidRPr="00F2119E">
        <w:rPr>
          <w:rFonts w:cs="Arial"/>
          <w:bCs/>
          <w:sz w:val="24"/>
          <w:szCs w:val="24"/>
        </w:rPr>
        <w:t xml:space="preserve"> </w:t>
      </w:r>
    </w:p>
    <w:p w:rsidR="003B0A25" w:rsidRPr="00F2119E" w:rsidRDefault="003B0A25" w:rsidP="00402CCD">
      <w:pPr>
        <w:pStyle w:val="Prrafodelista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1955AF" w:rsidRPr="00F2119E" w:rsidRDefault="001955AF" w:rsidP="00402CCD">
      <w:pPr>
        <w:jc w:val="both"/>
        <w:rPr>
          <w:rFonts w:cs="Arial"/>
          <w:bCs/>
          <w:sz w:val="24"/>
          <w:szCs w:val="24"/>
        </w:rPr>
      </w:pPr>
      <w:r w:rsidRPr="00F2119E">
        <w:rPr>
          <w:rFonts w:cs="Arial"/>
          <w:bCs/>
          <w:sz w:val="24"/>
          <w:szCs w:val="24"/>
        </w:rPr>
        <w:br w:type="page"/>
      </w:r>
    </w:p>
    <w:p w:rsidR="003B0A25" w:rsidRPr="00F2119E" w:rsidRDefault="003B0A25" w:rsidP="00402CCD">
      <w:pPr>
        <w:numPr>
          <w:ilvl w:val="0"/>
          <w:numId w:val="4"/>
        </w:numPr>
        <w:tabs>
          <w:tab w:val="left" w:pos="426"/>
        </w:tabs>
        <w:suppressAutoHyphens/>
        <w:ind w:left="426" w:hanging="426"/>
        <w:jc w:val="both"/>
        <w:rPr>
          <w:rFonts w:cs="Arial"/>
          <w:sz w:val="24"/>
          <w:szCs w:val="24"/>
        </w:rPr>
      </w:pPr>
      <w:r w:rsidRPr="00F2119E">
        <w:rPr>
          <w:rFonts w:cs="Arial"/>
          <w:bCs/>
          <w:sz w:val="24"/>
          <w:szCs w:val="24"/>
        </w:rPr>
        <w:lastRenderedPageBreak/>
        <w:t>Acuerdan</w:t>
      </w:r>
      <w:r w:rsidRPr="00F2119E">
        <w:rPr>
          <w:rFonts w:cs="Arial"/>
          <w:sz w:val="24"/>
          <w:szCs w:val="24"/>
        </w:rPr>
        <w:t xml:space="preserve">, asimismo, </w:t>
      </w:r>
      <w:r w:rsidRPr="00F2119E">
        <w:rPr>
          <w:rFonts w:cs="Arial"/>
          <w:bCs/>
          <w:sz w:val="24"/>
          <w:szCs w:val="24"/>
        </w:rPr>
        <w:t>aunar</w:t>
      </w:r>
      <w:r w:rsidRPr="00F2119E">
        <w:rPr>
          <w:rFonts w:cs="Arial"/>
          <w:sz w:val="24"/>
          <w:szCs w:val="24"/>
        </w:rPr>
        <w:t xml:space="preserve"> esfuerzos para dar un impulso político a las negociaciones bajo la CMNUCC con miras </w:t>
      </w:r>
      <w:r w:rsidRPr="00F2119E">
        <w:rPr>
          <w:rFonts w:cs="Arial"/>
          <w:bCs/>
          <w:sz w:val="24"/>
          <w:szCs w:val="24"/>
        </w:rPr>
        <w:t xml:space="preserve">a </w:t>
      </w:r>
      <w:r w:rsidRPr="00F2119E">
        <w:rPr>
          <w:rFonts w:cs="Arial"/>
          <w:sz w:val="24"/>
          <w:szCs w:val="24"/>
        </w:rPr>
        <w:t>fortalecer el régimen climático bajo la Convención y</w:t>
      </w:r>
      <w:r w:rsidR="00F63935" w:rsidRPr="00F2119E">
        <w:rPr>
          <w:rFonts w:cs="Arial"/>
          <w:sz w:val="24"/>
          <w:szCs w:val="24"/>
        </w:rPr>
        <w:t xml:space="preserve">, </w:t>
      </w:r>
      <w:r w:rsidR="003A068E" w:rsidRPr="00F2119E">
        <w:rPr>
          <w:rFonts w:cs="Arial"/>
          <w:sz w:val="24"/>
          <w:szCs w:val="24"/>
        </w:rPr>
        <w:t> </w:t>
      </w:r>
      <w:r w:rsidRPr="00F2119E">
        <w:rPr>
          <w:rFonts w:cs="Arial"/>
          <w:sz w:val="24"/>
          <w:szCs w:val="24"/>
        </w:rPr>
        <w:t>en</w:t>
      </w:r>
      <w:r w:rsidR="003A068E" w:rsidRPr="00F2119E">
        <w:rPr>
          <w:rFonts w:cs="Arial"/>
          <w:sz w:val="24"/>
          <w:szCs w:val="24"/>
        </w:rPr>
        <w:t> </w:t>
      </w:r>
      <w:r w:rsidRPr="00F2119E">
        <w:rPr>
          <w:rFonts w:cs="Arial"/>
          <w:sz w:val="24"/>
          <w:szCs w:val="24"/>
        </w:rPr>
        <w:t>ese sentido, reconocen la exitosa creación del Grupo de Trabajo ad hoc sobre la</w:t>
      </w:r>
      <w:r w:rsidR="003A068E" w:rsidRPr="00F2119E">
        <w:rPr>
          <w:rFonts w:cs="Arial"/>
          <w:sz w:val="24"/>
          <w:szCs w:val="24"/>
        </w:rPr>
        <w:t> </w:t>
      </w:r>
      <w:r w:rsidRPr="00F2119E">
        <w:rPr>
          <w:rFonts w:cs="Arial"/>
          <w:sz w:val="24"/>
          <w:szCs w:val="24"/>
        </w:rPr>
        <w:t xml:space="preserve">Plataforma de </w:t>
      </w:r>
      <w:proofErr w:type="spellStart"/>
      <w:r w:rsidRPr="00F2119E">
        <w:rPr>
          <w:rFonts w:cs="Arial"/>
          <w:sz w:val="24"/>
          <w:szCs w:val="24"/>
        </w:rPr>
        <w:t>Durban</w:t>
      </w:r>
      <w:proofErr w:type="spellEnd"/>
      <w:r w:rsidRPr="00F2119E">
        <w:rPr>
          <w:rFonts w:cs="Arial"/>
          <w:sz w:val="24"/>
          <w:szCs w:val="24"/>
        </w:rPr>
        <w:t xml:space="preserve"> para la Acción Fortalecida (ADP) con el fin de adoptar en el</w:t>
      </w:r>
      <w:r w:rsidR="003A068E" w:rsidRPr="00F2119E">
        <w:rPr>
          <w:rFonts w:cs="Arial"/>
          <w:sz w:val="24"/>
          <w:szCs w:val="24"/>
        </w:rPr>
        <w:t> </w:t>
      </w:r>
      <w:r w:rsidRPr="00F2119E">
        <w:rPr>
          <w:rFonts w:cs="Arial"/>
          <w:sz w:val="24"/>
          <w:szCs w:val="24"/>
        </w:rPr>
        <w:t>marco de la CMNUCC, un protocolo, otro instrumento jurídico o acuerdo con valor jurídico, que debe adoptarse en el 2015, aplicable a todas las partes y guiado por los</w:t>
      </w:r>
      <w:r w:rsidR="003A068E" w:rsidRPr="00F2119E">
        <w:rPr>
          <w:rFonts w:cs="Arial"/>
          <w:sz w:val="24"/>
          <w:szCs w:val="24"/>
        </w:rPr>
        <w:t> </w:t>
      </w:r>
      <w:r w:rsidRPr="00F2119E">
        <w:rPr>
          <w:rFonts w:cs="Arial"/>
          <w:sz w:val="24"/>
          <w:szCs w:val="24"/>
        </w:rPr>
        <w:t>principios y disposiciones de la CMNUCC, en particular el principio de responsabilidades comunes pero diferenciadas</w:t>
      </w:r>
      <w:r w:rsidR="00B356D2" w:rsidRPr="00F2119E">
        <w:rPr>
          <w:rFonts w:cs="Arial"/>
          <w:sz w:val="24"/>
          <w:szCs w:val="24"/>
        </w:rPr>
        <w:t xml:space="preserve"> </w:t>
      </w:r>
      <w:r w:rsidR="00F63935" w:rsidRPr="00F2119E">
        <w:rPr>
          <w:rFonts w:cs="Arial"/>
          <w:bCs/>
          <w:sz w:val="24"/>
          <w:szCs w:val="24"/>
        </w:rPr>
        <w:t>y respectivas capacidades;</w:t>
      </w:r>
    </w:p>
    <w:p w:rsidR="003B0A25" w:rsidRPr="00F2119E" w:rsidRDefault="003B0A25" w:rsidP="00402CCD">
      <w:pPr>
        <w:tabs>
          <w:tab w:val="left" w:pos="426"/>
        </w:tabs>
        <w:suppressAutoHyphens/>
        <w:jc w:val="both"/>
        <w:rPr>
          <w:rFonts w:cs="Arial"/>
          <w:sz w:val="24"/>
          <w:szCs w:val="24"/>
        </w:rPr>
      </w:pPr>
    </w:p>
    <w:p w:rsidR="003B0A25" w:rsidRPr="00F2119E" w:rsidRDefault="003B0A25" w:rsidP="00402CCD">
      <w:pPr>
        <w:numPr>
          <w:ilvl w:val="0"/>
          <w:numId w:val="4"/>
        </w:numPr>
        <w:tabs>
          <w:tab w:val="left" w:pos="426"/>
        </w:tabs>
        <w:suppressAutoHyphens/>
        <w:ind w:left="426" w:hanging="426"/>
        <w:jc w:val="both"/>
        <w:rPr>
          <w:rFonts w:cs="Arial"/>
          <w:sz w:val="24"/>
          <w:szCs w:val="24"/>
          <w:shd w:val="clear" w:color="auto" w:fill="FFFF00"/>
        </w:rPr>
      </w:pPr>
      <w:r w:rsidRPr="00F2119E">
        <w:rPr>
          <w:rFonts w:cs="Arial"/>
          <w:sz w:val="24"/>
          <w:szCs w:val="24"/>
        </w:rPr>
        <w:t xml:space="preserve">Reafirman que el trabajo de la Plataforma de </w:t>
      </w:r>
      <w:proofErr w:type="spellStart"/>
      <w:r w:rsidRPr="00F2119E">
        <w:rPr>
          <w:rFonts w:cs="Arial"/>
          <w:sz w:val="24"/>
          <w:szCs w:val="24"/>
        </w:rPr>
        <w:t>Durban</w:t>
      </w:r>
      <w:proofErr w:type="spellEnd"/>
      <w:r w:rsidRPr="00F2119E">
        <w:rPr>
          <w:rFonts w:cs="Arial"/>
          <w:sz w:val="24"/>
          <w:szCs w:val="24"/>
        </w:rPr>
        <w:t xml:space="preserve"> para la Acción Fortalecida (ADP) debe garantizar un trato equilibrado entre mitigación, adaptación, financiamiento, capacitación, transferencia de tecnología y transparencia de acción y apoyo, </w:t>
      </w:r>
      <w:r w:rsidR="00F63935" w:rsidRPr="00F2119E">
        <w:rPr>
          <w:rFonts w:cs="Arial"/>
          <w:sz w:val="24"/>
          <w:szCs w:val="24"/>
        </w:rPr>
        <w:t>así como</w:t>
      </w:r>
      <w:r w:rsidRPr="00F2119E">
        <w:rPr>
          <w:rFonts w:cs="Arial"/>
          <w:sz w:val="24"/>
          <w:szCs w:val="24"/>
        </w:rPr>
        <w:t> asegurar la ambición necesaria tanto para el período posterior a 2020 como para el pre-2020, de acuerdo con las responsabilidades históricas de los países por el aumento de la temperatura global</w:t>
      </w:r>
      <w:r w:rsidR="00F63935" w:rsidRPr="00F2119E">
        <w:rPr>
          <w:rFonts w:cs="Arial"/>
          <w:sz w:val="24"/>
          <w:szCs w:val="24"/>
        </w:rPr>
        <w:t>;</w:t>
      </w:r>
    </w:p>
    <w:p w:rsidR="003B0A25" w:rsidRPr="00F2119E" w:rsidRDefault="003B0A25" w:rsidP="00402CCD">
      <w:pPr>
        <w:tabs>
          <w:tab w:val="left" w:pos="426"/>
        </w:tabs>
        <w:ind w:left="426" w:hanging="426"/>
        <w:jc w:val="both"/>
        <w:rPr>
          <w:rFonts w:cs="Arial"/>
          <w:sz w:val="24"/>
          <w:szCs w:val="24"/>
          <w:shd w:val="clear" w:color="auto" w:fill="FFFF00"/>
        </w:rPr>
      </w:pPr>
    </w:p>
    <w:p w:rsidR="003B0A25" w:rsidRPr="00F2119E" w:rsidRDefault="003B0A25" w:rsidP="00402CCD">
      <w:pPr>
        <w:numPr>
          <w:ilvl w:val="0"/>
          <w:numId w:val="4"/>
        </w:numPr>
        <w:tabs>
          <w:tab w:val="left" w:pos="426"/>
        </w:tabs>
        <w:suppressAutoHyphens/>
        <w:ind w:left="426" w:hanging="426"/>
        <w:jc w:val="both"/>
        <w:rPr>
          <w:rFonts w:cs="Arial"/>
          <w:sz w:val="24"/>
          <w:szCs w:val="24"/>
        </w:rPr>
      </w:pPr>
      <w:r w:rsidRPr="00F2119E">
        <w:rPr>
          <w:rFonts w:cs="Arial"/>
          <w:sz w:val="24"/>
          <w:szCs w:val="24"/>
        </w:rPr>
        <w:t xml:space="preserve">Reafirman su compromiso y apoyo a la presidencia peruana de la 20 Conferencia de las Partes de la Convención (COP20) y </w:t>
      </w:r>
      <w:r w:rsidR="00F63935" w:rsidRPr="00F2119E">
        <w:rPr>
          <w:rFonts w:cs="Arial"/>
          <w:sz w:val="24"/>
          <w:szCs w:val="24"/>
        </w:rPr>
        <w:t xml:space="preserve">la </w:t>
      </w:r>
      <w:r w:rsidRPr="00F2119E">
        <w:rPr>
          <w:rFonts w:cs="Arial"/>
          <w:sz w:val="24"/>
          <w:szCs w:val="24"/>
        </w:rPr>
        <w:t>10</w:t>
      </w:r>
      <w:r w:rsidR="00700550" w:rsidRPr="00F2119E">
        <w:rPr>
          <w:rFonts w:cs="Arial"/>
          <w:sz w:val="24"/>
          <w:szCs w:val="24"/>
        </w:rPr>
        <w:t xml:space="preserve"> Conferencia de las Partes en calidad de</w:t>
      </w:r>
      <w:r w:rsidRPr="00F2119E">
        <w:rPr>
          <w:rFonts w:cs="Arial"/>
          <w:sz w:val="24"/>
          <w:szCs w:val="24"/>
        </w:rPr>
        <w:t xml:space="preserve"> Reunión de las Partes del Protocolo de </w:t>
      </w:r>
      <w:proofErr w:type="spellStart"/>
      <w:r w:rsidRPr="00F2119E">
        <w:rPr>
          <w:rFonts w:cs="Arial"/>
          <w:sz w:val="24"/>
          <w:szCs w:val="24"/>
        </w:rPr>
        <w:t>Kyoto</w:t>
      </w:r>
      <w:proofErr w:type="spellEnd"/>
      <w:r w:rsidRPr="00F2119E">
        <w:rPr>
          <w:rFonts w:cs="Arial"/>
          <w:sz w:val="24"/>
          <w:szCs w:val="24"/>
        </w:rPr>
        <w:t xml:space="preserve"> (CMP10), a realizarse en Lima, Perú, </w:t>
      </w:r>
      <w:r w:rsidR="00F63935" w:rsidRPr="00F2119E">
        <w:rPr>
          <w:rFonts w:cs="Arial"/>
          <w:sz w:val="24"/>
          <w:szCs w:val="24"/>
        </w:rPr>
        <w:t>del 1ro al 12 de dicie</w:t>
      </w:r>
      <w:r w:rsidRPr="00F2119E">
        <w:rPr>
          <w:rFonts w:cs="Arial"/>
          <w:sz w:val="24"/>
          <w:szCs w:val="24"/>
        </w:rPr>
        <w:t>mbre de 2014</w:t>
      </w:r>
      <w:r w:rsidR="00F63935" w:rsidRPr="00F2119E">
        <w:rPr>
          <w:rFonts w:cs="Arial"/>
          <w:sz w:val="24"/>
          <w:szCs w:val="24"/>
        </w:rPr>
        <w:t>;</w:t>
      </w:r>
    </w:p>
    <w:p w:rsidR="003B0A25" w:rsidRPr="00F2119E" w:rsidRDefault="003B0A25" w:rsidP="00402CCD">
      <w:pPr>
        <w:pStyle w:val="Prrafodelista1"/>
        <w:spacing w:after="0" w:line="240" w:lineRule="auto"/>
        <w:ind w:hanging="425"/>
        <w:jc w:val="both"/>
        <w:rPr>
          <w:rFonts w:cs="Arial"/>
          <w:sz w:val="24"/>
          <w:szCs w:val="24"/>
        </w:rPr>
      </w:pPr>
    </w:p>
    <w:p w:rsidR="003B0A25" w:rsidRPr="00F2119E" w:rsidRDefault="003B0A25" w:rsidP="00402CCD">
      <w:pPr>
        <w:numPr>
          <w:ilvl w:val="0"/>
          <w:numId w:val="4"/>
        </w:numPr>
        <w:tabs>
          <w:tab w:val="left" w:pos="426"/>
        </w:tabs>
        <w:suppressAutoHyphens/>
        <w:ind w:left="426" w:hanging="426"/>
        <w:jc w:val="both"/>
        <w:rPr>
          <w:rFonts w:cs="Arial"/>
          <w:sz w:val="24"/>
          <w:szCs w:val="24"/>
        </w:rPr>
      </w:pPr>
      <w:r w:rsidRPr="00F2119E">
        <w:rPr>
          <w:rFonts w:cs="Arial"/>
          <w:sz w:val="24"/>
          <w:szCs w:val="24"/>
        </w:rPr>
        <w:t xml:space="preserve">Toman nota con satisfacción de la decisión de establecer el Mecanismo Internacional de Varsovia sobre Pérdidas y Daños asociados con los impactos del cambio climático en </w:t>
      </w:r>
      <w:r w:rsidR="00F63935" w:rsidRPr="00F2119E">
        <w:rPr>
          <w:rFonts w:cs="Arial"/>
          <w:sz w:val="24"/>
          <w:szCs w:val="24"/>
        </w:rPr>
        <w:t>p</w:t>
      </w:r>
      <w:r w:rsidRPr="00F2119E">
        <w:rPr>
          <w:rFonts w:cs="Arial"/>
          <w:sz w:val="24"/>
          <w:szCs w:val="24"/>
        </w:rPr>
        <w:t xml:space="preserve">aíses en </w:t>
      </w:r>
      <w:r w:rsidR="00F63935" w:rsidRPr="00F2119E">
        <w:rPr>
          <w:rFonts w:cs="Arial"/>
          <w:sz w:val="24"/>
          <w:szCs w:val="24"/>
        </w:rPr>
        <w:t>d</w:t>
      </w:r>
      <w:r w:rsidRPr="00F2119E">
        <w:rPr>
          <w:rFonts w:cs="Arial"/>
          <w:sz w:val="24"/>
          <w:szCs w:val="24"/>
        </w:rPr>
        <w:t>esarrollo e instan a su más pronto financiamiento y efectiva e inmediata implementación</w:t>
      </w:r>
      <w:r w:rsidR="00F63935" w:rsidRPr="00F2119E">
        <w:rPr>
          <w:rFonts w:cs="Arial"/>
          <w:sz w:val="24"/>
          <w:szCs w:val="24"/>
        </w:rPr>
        <w:t>;</w:t>
      </w:r>
    </w:p>
    <w:p w:rsidR="003B0A25" w:rsidRPr="00F2119E" w:rsidRDefault="003B0A25" w:rsidP="00402CCD">
      <w:pPr>
        <w:tabs>
          <w:tab w:val="left" w:pos="426"/>
        </w:tabs>
        <w:ind w:left="426" w:hanging="426"/>
        <w:jc w:val="both"/>
        <w:rPr>
          <w:rFonts w:cs="Arial"/>
          <w:sz w:val="24"/>
          <w:szCs w:val="24"/>
        </w:rPr>
      </w:pPr>
    </w:p>
    <w:p w:rsidR="003B0A25" w:rsidRPr="00F2119E" w:rsidRDefault="003B0A25" w:rsidP="00402CCD">
      <w:pPr>
        <w:numPr>
          <w:ilvl w:val="0"/>
          <w:numId w:val="4"/>
        </w:numPr>
        <w:tabs>
          <w:tab w:val="left" w:pos="426"/>
        </w:tabs>
        <w:suppressAutoHyphens/>
        <w:ind w:left="426" w:hanging="426"/>
        <w:jc w:val="both"/>
        <w:rPr>
          <w:rFonts w:cs="Arial"/>
          <w:sz w:val="24"/>
          <w:szCs w:val="24"/>
        </w:rPr>
      </w:pPr>
      <w:r w:rsidRPr="00F2119E">
        <w:rPr>
          <w:rFonts w:cs="Arial"/>
          <w:sz w:val="24"/>
          <w:szCs w:val="24"/>
          <w:lang w:val="es-MX"/>
        </w:rPr>
        <w:t>Reconocen que para lograr una acción efectiva contra el cambio climático y sus efectos, urge en primer lugar una respuesta efectiva de los gobiernos de acuerdo con sus responsabilidades históricas y capacidades, así como la participación de otros actores como el sector privado, la sociedad civil y los movimientos sociales</w:t>
      </w:r>
      <w:r w:rsidR="00F63935" w:rsidRPr="00F2119E">
        <w:rPr>
          <w:rFonts w:cs="Arial"/>
          <w:sz w:val="24"/>
          <w:szCs w:val="24"/>
          <w:lang w:val="es-MX"/>
        </w:rPr>
        <w:t>;</w:t>
      </w:r>
    </w:p>
    <w:p w:rsidR="003B0A25" w:rsidRPr="00F2119E" w:rsidRDefault="003B0A25" w:rsidP="00402CCD">
      <w:pPr>
        <w:tabs>
          <w:tab w:val="left" w:pos="426"/>
        </w:tabs>
        <w:ind w:left="426" w:hanging="426"/>
        <w:jc w:val="both"/>
        <w:rPr>
          <w:rFonts w:cs="Arial"/>
          <w:sz w:val="24"/>
          <w:szCs w:val="24"/>
        </w:rPr>
      </w:pPr>
    </w:p>
    <w:p w:rsidR="003B0A25" w:rsidRPr="00F2119E" w:rsidRDefault="003B0A25" w:rsidP="00402CCD">
      <w:pPr>
        <w:numPr>
          <w:ilvl w:val="0"/>
          <w:numId w:val="4"/>
        </w:numPr>
        <w:tabs>
          <w:tab w:val="left" w:pos="426"/>
        </w:tabs>
        <w:suppressAutoHyphens/>
        <w:ind w:left="426" w:hanging="426"/>
        <w:jc w:val="both"/>
        <w:rPr>
          <w:rFonts w:cs="Arial"/>
          <w:sz w:val="24"/>
          <w:szCs w:val="24"/>
        </w:rPr>
      </w:pPr>
      <w:r w:rsidRPr="00F2119E">
        <w:rPr>
          <w:rFonts w:cs="Arial"/>
          <w:sz w:val="24"/>
          <w:szCs w:val="24"/>
        </w:rPr>
        <w:t xml:space="preserve">Reconocen, asimismo, que el desarrollo sostenible y la formulación de la Agenda de Desarrollo Post-2015 </w:t>
      </w:r>
      <w:r w:rsidRPr="00F2119E">
        <w:rPr>
          <w:rFonts w:cs="Arial"/>
          <w:bCs/>
          <w:sz w:val="24"/>
          <w:szCs w:val="24"/>
        </w:rPr>
        <w:t>demandan mayores esfuerzos tendientes a limitar</w:t>
      </w:r>
      <w:r w:rsidRPr="00F2119E">
        <w:rPr>
          <w:rFonts w:cs="Arial"/>
          <w:sz w:val="24"/>
          <w:szCs w:val="24"/>
        </w:rPr>
        <w:t xml:space="preserve"> el calentamiento global.  En ese sentido, alientan a que se preste la debida atención a</w:t>
      </w:r>
      <w:r w:rsidR="00251AC1" w:rsidRPr="00F2119E">
        <w:rPr>
          <w:rFonts w:cs="Arial"/>
          <w:sz w:val="24"/>
          <w:szCs w:val="24"/>
        </w:rPr>
        <w:t> </w:t>
      </w:r>
      <w:r w:rsidRPr="00F2119E">
        <w:rPr>
          <w:rFonts w:cs="Arial"/>
          <w:sz w:val="24"/>
          <w:szCs w:val="24"/>
        </w:rPr>
        <w:t>la</w:t>
      </w:r>
      <w:r w:rsidR="00251AC1" w:rsidRPr="00F2119E">
        <w:rPr>
          <w:rFonts w:cs="Arial"/>
          <w:sz w:val="24"/>
          <w:szCs w:val="24"/>
        </w:rPr>
        <w:t> </w:t>
      </w:r>
      <w:r w:rsidRPr="00F2119E">
        <w:rPr>
          <w:rFonts w:cs="Arial"/>
          <w:sz w:val="24"/>
          <w:szCs w:val="24"/>
        </w:rPr>
        <w:t xml:space="preserve">reducción del riesgo de desastres y al aumento de la </w:t>
      </w:r>
      <w:proofErr w:type="spellStart"/>
      <w:r w:rsidRPr="00F2119E">
        <w:rPr>
          <w:rFonts w:cs="Arial"/>
          <w:sz w:val="24"/>
          <w:szCs w:val="24"/>
        </w:rPr>
        <w:t>resili</w:t>
      </w:r>
      <w:r w:rsidR="00A833C6" w:rsidRPr="00F2119E">
        <w:rPr>
          <w:rFonts w:cs="Arial"/>
          <w:sz w:val="24"/>
          <w:szCs w:val="24"/>
        </w:rPr>
        <w:t>encia</w:t>
      </w:r>
      <w:proofErr w:type="spellEnd"/>
      <w:r w:rsidR="00A833C6" w:rsidRPr="00F2119E">
        <w:rPr>
          <w:rFonts w:cs="Arial"/>
          <w:sz w:val="24"/>
          <w:szCs w:val="24"/>
        </w:rPr>
        <w:t xml:space="preserve"> en el marco de esa agenda;</w:t>
      </w:r>
    </w:p>
    <w:p w:rsidR="003B0A25" w:rsidRPr="00F2119E" w:rsidRDefault="003B0A25" w:rsidP="00402CCD">
      <w:pPr>
        <w:tabs>
          <w:tab w:val="left" w:pos="426"/>
        </w:tabs>
        <w:ind w:left="426" w:hanging="426"/>
        <w:jc w:val="both"/>
        <w:rPr>
          <w:rFonts w:cs="Arial"/>
          <w:sz w:val="24"/>
          <w:szCs w:val="24"/>
        </w:rPr>
      </w:pPr>
    </w:p>
    <w:p w:rsidR="003B0A25" w:rsidRPr="00F2119E" w:rsidRDefault="003B0A25" w:rsidP="00402CCD">
      <w:pPr>
        <w:numPr>
          <w:ilvl w:val="0"/>
          <w:numId w:val="4"/>
        </w:numPr>
        <w:tabs>
          <w:tab w:val="left" w:pos="426"/>
        </w:tabs>
        <w:suppressAutoHyphens/>
        <w:ind w:left="426" w:hanging="426"/>
        <w:jc w:val="both"/>
        <w:rPr>
          <w:rFonts w:cs="Arial"/>
          <w:sz w:val="24"/>
          <w:szCs w:val="24"/>
        </w:rPr>
      </w:pPr>
      <w:r w:rsidRPr="00F2119E">
        <w:rPr>
          <w:rFonts w:cs="Arial"/>
          <w:sz w:val="24"/>
          <w:szCs w:val="24"/>
        </w:rPr>
        <w:t xml:space="preserve">Subrayan </w:t>
      </w:r>
      <w:r w:rsidRPr="00F2119E">
        <w:rPr>
          <w:rFonts w:cs="Arial"/>
          <w:bCs/>
          <w:sz w:val="24"/>
          <w:szCs w:val="24"/>
        </w:rPr>
        <w:t xml:space="preserve">la necesidad </w:t>
      </w:r>
      <w:r w:rsidRPr="00F2119E">
        <w:rPr>
          <w:rFonts w:cs="Arial"/>
          <w:sz w:val="24"/>
          <w:szCs w:val="24"/>
        </w:rPr>
        <w:t xml:space="preserve">de proporcionar recursos financieros suficientes, </w:t>
      </w:r>
      <w:r w:rsidRPr="00F2119E">
        <w:rPr>
          <w:rFonts w:cs="Arial"/>
          <w:bCs/>
          <w:sz w:val="24"/>
          <w:szCs w:val="24"/>
        </w:rPr>
        <w:t>nuevos y adicionales</w:t>
      </w:r>
      <w:r w:rsidRPr="00F2119E">
        <w:rPr>
          <w:rFonts w:cs="Arial"/>
          <w:sz w:val="24"/>
          <w:szCs w:val="24"/>
        </w:rPr>
        <w:t xml:space="preserve"> a los países </w:t>
      </w:r>
      <w:r w:rsidRPr="00F2119E">
        <w:rPr>
          <w:rFonts w:cs="Arial"/>
          <w:bCs/>
          <w:sz w:val="24"/>
          <w:szCs w:val="24"/>
        </w:rPr>
        <w:t>en desarrollo</w:t>
      </w:r>
      <w:r w:rsidRPr="00F2119E">
        <w:rPr>
          <w:rFonts w:cs="Arial"/>
          <w:sz w:val="24"/>
          <w:szCs w:val="24"/>
        </w:rPr>
        <w:t>, a fin de que puedan cubrir los</w:t>
      </w:r>
      <w:r w:rsidR="00251AC1" w:rsidRPr="00F2119E">
        <w:rPr>
          <w:rFonts w:cs="Arial"/>
          <w:sz w:val="24"/>
          <w:szCs w:val="24"/>
        </w:rPr>
        <w:t xml:space="preserve"> </w:t>
      </w:r>
      <w:r w:rsidRPr="00F2119E">
        <w:rPr>
          <w:rFonts w:cs="Arial"/>
          <w:sz w:val="24"/>
          <w:szCs w:val="24"/>
        </w:rPr>
        <w:t xml:space="preserve">gastos adicionales generados por el impacto del cambio climático, así como el establecimiento de sistemas de alerta temprana para mitigar los </w:t>
      </w:r>
      <w:r w:rsidR="00A833C6" w:rsidRPr="00F2119E">
        <w:rPr>
          <w:rFonts w:cs="Arial"/>
          <w:sz w:val="24"/>
          <w:szCs w:val="24"/>
        </w:rPr>
        <w:t>daños asociados a los desastres;</w:t>
      </w:r>
    </w:p>
    <w:p w:rsidR="003B0A25" w:rsidRPr="00F2119E" w:rsidRDefault="003B0A25" w:rsidP="00402CCD">
      <w:pPr>
        <w:tabs>
          <w:tab w:val="left" w:pos="426"/>
        </w:tabs>
        <w:ind w:left="426" w:hanging="426"/>
        <w:jc w:val="both"/>
        <w:rPr>
          <w:rFonts w:cs="Arial"/>
          <w:sz w:val="24"/>
          <w:szCs w:val="24"/>
        </w:rPr>
      </w:pPr>
    </w:p>
    <w:p w:rsidR="003B0A25" w:rsidRPr="00F2119E" w:rsidRDefault="003B0A25" w:rsidP="00402CCD">
      <w:pPr>
        <w:numPr>
          <w:ilvl w:val="0"/>
          <w:numId w:val="4"/>
        </w:numPr>
        <w:tabs>
          <w:tab w:val="left" w:pos="426"/>
        </w:tabs>
        <w:suppressAutoHyphens/>
        <w:ind w:left="426" w:hanging="426"/>
        <w:jc w:val="both"/>
        <w:rPr>
          <w:rFonts w:cs="Arial"/>
          <w:sz w:val="24"/>
          <w:szCs w:val="24"/>
        </w:rPr>
      </w:pPr>
      <w:r w:rsidRPr="00F2119E">
        <w:rPr>
          <w:rFonts w:cs="Arial"/>
          <w:sz w:val="24"/>
          <w:szCs w:val="24"/>
        </w:rPr>
        <w:lastRenderedPageBreak/>
        <w:t xml:space="preserve">Reiteran y subrayan, además, </w:t>
      </w:r>
      <w:r w:rsidRPr="00F2119E">
        <w:rPr>
          <w:rFonts w:cs="Arial"/>
          <w:bCs/>
          <w:sz w:val="24"/>
          <w:szCs w:val="24"/>
        </w:rPr>
        <w:t>la vul</w:t>
      </w:r>
      <w:r w:rsidR="00A833C6" w:rsidRPr="00F2119E">
        <w:rPr>
          <w:rFonts w:cs="Arial"/>
          <w:bCs/>
          <w:sz w:val="24"/>
          <w:szCs w:val="24"/>
        </w:rPr>
        <w:t>nerabilidad</w:t>
      </w:r>
      <w:r w:rsidRPr="00F2119E">
        <w:rPr>
          <w:rFonts w:cs="Arial"/>
          <w:bCs/>
          <w:sz w:val="24"/>
          <w:szCs w:val="24"/>
        </w:rPr>
        <w:t xml:space="preserve"> de nuestros países que</w:t>
      </w:r>
      <w:r w:rsidRPr="00F2119E">
        <w:rPr>
          <w:rFonts w:cs="Arial"/>
          <w:sz w:val="24"/>
          <w:szCs w:val="24"/>
        </w:rPr>
        <w:t xml:space="preserve"> ya soportan el</w:t>
      </w:r>
      <w:r w:rsidR="00251AC1" w:rsidRPr="00F2119E">
        <w:rPr>
          <w:rFonts w:cs="Arial"/>
          <w:sz w:val="24"/>
          <w:szCs w:val="24"/>
        </w:rPr>
        <w:t> </w:t>
      </w:r>
      <w:r w:rsidRPr="00F2119E">
        <w:rPr>
          <w:rFonts w:cs="Arial"/>
          <w:sz w:val="24"/>
          <w:szCs w:val="24"/>
        </w:rPr>
        <w:t xml:space="preserve">peso de la secuela del calentamiento global, de lo cual es prueba los devastadores desastres que ocurrieron en 2013 en la </w:t>
      </w:r>
      <w:r w:rsidRPr="00F2119E">
        <w:rPr>
          <w:rFonts w:cs="Arial"/>
          <w:bCs/>
          <w:sz w:val="24"/>
          <w:szCs w:val="24"/>
        </w:rPr>
        <w:t>región.</w:t>
      </w:r>
    </w:p>
    <w:p w:rsidR="003B0A25" w:rsidRPr="00F2119E" w:rsidRDefault="003B0A25" w:rsidP="00402CCD">
      <w:pPr>
        <w:tabs>
          <w:tab w:val="left" w:pos="426"/>
        </w:tabs>
        <w:suppressAutoHyphens/>
        <w:jc w:val="both"/>
        <w:rPr>
          <w:rFonts w:cs="Arial"/>
          <w:sz w:val="24"/>
          <w:szCs w:val="24"/>
        </w:rPr>
      </w:pPr>
    </w:p>
    <w:p w:rsidR="003B0A25" w:rsidRPr="00F2119E" w:rsidRDefault="003B0A25" w:rsidP="00402CCD">
      <w:pPr>
        <w:numPr>
          <w:ilvl w:val="0"/>
          <w:numId w:val="4"/>
        </w:numPr>
        <w:tabs>
          <w:tab w:val="left" w:pos="426"/>
        </w:tabs>
        <w:suppressAutoHyphens/>
        <w:ind w:left="426" w:hanging="426"/>
        <w:jc w:val="both"/>
        <w:rPr>
          <w:rFonts w:cs="Arial"/>
          <w:sz w:val="24"/>
          <w:szCs w:val="24"/>
        </w:rPr>
      </w:pPr>
      <w:r w:rsidRPr="00F2119E">
        <w:rPr>
          <w:rFonts w:cs="Arial"/>
          <w:sz w:val="24"/>
          <w:szCs w:val="24"/>
        </w:rPr>
        <w:t>Destacan la importancia de fortalecer los vínculos entre la reducción del riesgo de desastres, la recuperación y la planificación del desarrollo sostenible a largo plazo, así como la elaboración de estrategias coordinadas que integren la reducción del riesgo de desastres y la adaptación al</w:t>
      </w:r>
      <w:r w:rsidR="00251AC1" w:rsidRPr="00F2119E">
        <w:rPr>
          <w:rFonts w:cs="Arial"/>
          <w:sz w:val="24"/>
          <w:szCs w:val="24"/>
        </w:rPr>
        <w:t xml:space="preserve"> </w:t>
      </w:r>
      <w:r w:rsidRPr="00F2119E">
        <w:rPr>
          <w:rFonts w:cs="Arial"/>
          <w:sz w:val="24"/>
          <w:szCs w:val="24"/>
        </w:rPr>
        <w:t>cambio climático</w:t>
      </w:r>
      <w:r w:rsidR="00A833C6" w:rsidRPr="00F2119E">
        <w:rPr>
          <w:rFonts w:cs="Arial"/>
          <w:sz w:val="24"/>
          <w:szCs w:val="24"/>
        </w:rPr>
        <w:t>;</w:t>
      </w:r>
    </w:p>
    <w:p w:rsidR="003B0A25" w:rsidRPr="00F2119E" w:rsidRDefault="003B0A25" w:rsidP="00402CCD">
      <w:pPr>
        <w:pStyle w:val="Prrafodelista"/>
        <w:spacing w:after="0" w:line="240" w:lineRule="auto"/>
        <w:jc w:val="both"/>
        <w:rPr>
          <w:rFonts w:cs="Arial"/>
          <w:sz w:val="24"/>
          <w:szCs w:val="24"/>
        </w:rPr>
      </w:pPr>
    </w:p>
    <w:p w:rsidR="003B0A25" w:rsidRPr="00F2119E" w:rsidRDefault="003B0A25" w:rsidP="00402CCD">
      <w:pPr>
        <w:numPr>
          <w:ilvl w:val="0"/>
          <w:numId w:val="4"/>
        </w:numPr>
        <w:ind w:left="426" w:hanging="426"/>
        <w:jc w:val="both"/>
        <w:rPr>
          <w:rFonts w:cs="Arial"/>
          <w:sz w:val="24"/>
          <w:szCs w:val="24"/>
        </w:rPr>
      </w:pPr>
      <w:r w:rsidRPr="00F2119E">
        <w:rPr>
          <w:rFonts w:cs="Arial"/>
          <w:sz w:val="24"/>
          <w:szCs w:val="24"/>
        </w:rPr>
        <w:t>Destacan la necesidad de promover una mejor comprensión y un mayor conocimiento de las causas y consecuencias de los desastres causados por el cambio climático en nuestra región, así como de crear y reforzar la capacidad para hacerles frente mediante el intercambio de mejores prácticas, la transferencia de tecnología y la capacitación para la gestión y reducción del riesgo de desastres, la cooperación, en especial, de los países desarrollados para los países en desarrollo y el fortalecimiento de</w:t>
      </w:r>
      <w:r w:rsidR="00A833C6" w:rsidRPr="00F2119E">
        <w:rPr>
          <w:rFonts w:cs="Arial"/>
          <w:sz w:val="24"/>
          <w:szCs w:val="24"/>
        </w:rPr>
        <w:t xml:space="preserve"> los mecanismos institucionales;</w:t>
      </w:r>
    </w:p>
    <w:p w:rsidR="003B0A25" w:rsidRPr="00F2119E" w:rsidRDefault="003B0A25" w:rsidP="00402CCD">
      <w:pPr>
        <w:tabs>
          <w:tab w:val="left" w:pos="426"/>
        </w:tabs>
        <w:ind w:left="426" w:hanging="426"/>
        <w:jc w:val="both"/>
        <w:rPr>
          <w:rFonts w:cs="Arial"/>
          <w:sz w:val="24"/>
          <w:szCs w:val="24"/>
        </w:rPr>
      </w:pPr>
    </w:p>
    <w:p w:rsidR="00A833C6" w:rsidRPr="00F2119E" w:rsidRDefault="003B0A25" w:rsidP="00402CCD">
      <w:pPr>
        <w:numPr>
          <w:ilvl w:val="0"/>
          <w:numId w:val="4"/>
        </w:numPr>
        <w:tabs>
          <w:tab w:val="left" w:pos="426"/>
        </w:tabs>
        <w:suppressAutoHyphens/>
        <w:ind w:left="426" w:hanging="426"/>
        <w:jc w:val="both"/>
        <w:rPr>
          <w:rFonts w:cs="Arial"/>
          <w:sz w:val="24"/>
          <w:szCs w:val="24"/>
        </w:rPr>
      </w:pPr>
      <w:r w:rsidRPr="00F2119E">
        <w:rPr>
          <w:rFonts w:cs="Arial"/>
          <w:sz w:val="24"/>
          <w:szCs w:val="24"/>
        </w:rPr>
        <w:t>Acuerdan intercambiar experiencias e información entre sus Estados para facilitar el diseño de estrategias de adaptación y mitigación al cambio climático, así como de recuperación de sus efectos, incluso considerando la posibilidad de llevar adelante proyectos regionales</w:t>
      </w:r>
      <w:r w:rsidR="00A833C6" w:rsidRPr="00F2119E">
        <w:rPr>
          <w:rFonts w:cs="Arial"/>
          <w:sz w:val="24"/>
          <w:szCs w:val="24"/>
        </w:rPr>
        <w:t xml:space="preserve"> en materia de cambio climático;</w:t>
      </w:r>
    </w:p>
    <w:p w:rsidR="003B0A25" w:rsidRPr="00F2119E" w:rsidRDefault="00A833C6" w:rsidP="00402CCD">
      <w:pPr>
        <w:tabs>
          <w:tab w:val="left" w:pos="426"/>
        </w:tabs>
        <w:suppressAutoHyphens/>
        <w:jc w:val="both"/>
        <w:rPr>
          <w:rFonts w:cs="Arial"/>
          <w:sz w:val="24"/>
          <w:szCs w:val="24"/>
        </w:rPr>
      </w:pPr>
      <w:r w:rsidRPr="00F2119E">
        <w:rPr>
          <w:rFonts w:cs="Arial"/>
          <w:sz w:val="24"/>
          <w:szCs w:val="24"/>
        </w:rPr>
        <w:t xml:space="preserve"> </w:t>
      </w:r>
    </w:p>
    <w:p w:rsidR="003B0A25" w:rsidRPr="00F2119E" w:rsidRDefault="003B0A25" w:rsidP="00402CCD">
      <w:pPr>
        <w:numPr>
          <w:ilvl w:val="0"/>
          <w:numId w:val="4"/>
        </w:numPr>
        <w:tabs>
          <w:tab w:val="left" w:pos="426"/>
        </w:tabs>
        <w:suppressAutoHyphens/>
        <w:ind w:left="426" w:hanging="426"/>
        <w:jc w:val="both"/>
        <w:rPr>
          <w:rFonts w:cs="Arial"/>
          <w:sz w:val="24"/>
          <w:szCs w:val="24"/>
        </w:rPr>
      </w:pPr>
      <w:r w:rsidRPr="00F2119E">
        <w:rPr>
          <w:rFonts w:cs="Arial"/>
          <w:sz w:val="24"/>
          <w:szCs w:val="24"/>
          <w:lang w:val="es-MX"/>
        </w:rPr>
        <w:t>S</w:t>
      </w:r>
      <w:r w:rsidR="00402CCD">
        <w:rPr>
          <w:rFonts w:cs="Arial"/>
          <w:sz w:val="24"/>
          <w:szCs w:val="24"/>
          <w:lang w:val="es-MX"/>
        </w:rPr>
        <w:t xml:space="preserve">ubrayan </w:t>
      </w:r>
      <w:r w:rsidRPr="00F2119E">
        <w:rPr>
          <w:rFonts w:cs="Arial"/>
          <w:sz w:val="24"/>
          <w:szCs w:val="24"/>
        </w:rPr>
        <w:t>la importancia de la combinación de políticas de protección social y el desarrollo socioeconómico sostenible, a fin de reducir las desigualdades y vulnerabilidades sociales latentes en los países de la región en proporción directa a las vulnerabilidades a</w:t>
      </w:r>
      <w:r w:rsidR="00A833C6" w:rsidRPr="00F2119E">
        <w:rPr>
          <w:rFonts w:cs="Arial"/>
          <w:sz w:val="24"/>
          <w:szCs w:val="24"/>
        </w:rPr>
        <w:t xml:space="preserve"> los desastres </w:t>
      </w:r>
      <w:proofErr w:type="spellStart"/>
      <w:r w:rsidR="00A833C6" w:rsidRPr="00F2119E">
        <w:rPr>
          <w:rFonts w:cs="Arial"/>
          <w:sz w:val="24"/>
          <w:szCs w:val="24"/>
        </w:rPr>
        <w:t>socioambientales</w:t>
      </w:r>
      <w:proofErr w:type="spellEnd"/>
      <w:r w:rsidR="00A833C6" w:rsidRPr="00F2119E">
        <w:rPr>
          <w:rFonts w:cs="Arial"/>
          <w:sz w:val="24"/>
          <w:szCs w:val="24"/>
        </w:rPr>
        <w:t>;</w:t>
      </w:r>
    </w:p>
    <w:p w:rsidR="003B0A25" w:rsidRPr="00F2119E" w:rsidRDefault="003B0A25" w:rsidP="00402CCD">
      <w:pPr>
        <w:tabs>
          <w:tab w:val="left" w:pos="426"/>
        </w:tabs>
        <w:suppressAutoHyphens/>
        <w:jc w:val="both"/>
        <w:rPr>
          <w:rFonts w:cs="Arial"/>
          <w:sz w:val="24"/>
          <w:szCs w:val="24"/>
        </w:rPr>
      </w:pPr>
    </w:p>
    <w:p w:rsidR="003B0A25" w:rsidRPr="00F2119E" w:rsidRDefault="003B0A25" w:rsidP="00402CCD">
      <w:pPr>
        <w:numPr>
          <w:ilvl w:val="0"/>
          <w:numId w:val="4"/>
        </w:numPr>
        <w:tabs>
          <w:tab w:val="left" w:pos="426"/>
        </w:tabs>
        <w:suppressAutoHyphens/>
        <w:ind w:left="426" w:hanging="426"/>
        <w:jc w:val="both"/>
        <w:rPr>
          <w:rFonts w:cs="Arial"/>
          <w:sz w:val="24"/>
          <w:szCs w:val="24"/>
        </w:rPr>
      </w:pPr>
      <w:r w:rsidRPr="00F2119E">
        <w:rPr>
          <w:rFonts w:cs="Arial"/>
          <w:bCs/>
          <w:sz w:val="24"/>
          <w:szCs w:val="24"/>
          <w:lang w:val="es-MX"/>
        </w:rPr>
        <w:t>Enfatizan la importancia que tendrá la Cuarta Sesión de la Plataforma Regional de Reducción de Riesgos de Desastres en las Américas, a celebrarse en Ecuador en mayo</w:t>
      </w:r>
      <w:r w:rsidR="00A833C6" w:rsidRPr="00F2119E">
        <w:rPr>
          <w:rFonts w:cs="Arial"/>
          <w:bCs/>
          <w:sz w:val="24"/>
          <w:szCs w:val="24"/>
          <w:lang w:val="es-MX"/>
        </w:rPr>
        <w:t> de 2014;</w:t>
      </w:r>
    </w:p>
    <w:p w:rsidR="003B0A25" w:rsidRPr="00F2119E" w:rsidRDefault="003B0A25" w:rsidP="00402CCD">
      <w:pPr>
        <w:tabs>
          <w:tab w:val="left" w:pos="426"/>
        </w:tabs>
        <w:ind w:left="426" w:hanging="426"/>
        <w:jc w:val="both"/>
        <w:rPr>
          <w:rFonts w:cs="Arial"/>
          <w:b/>
          <w:bCs/>
          <w:sz w:val="24"/>
          <w:szCs w:val="24"/>
          <w:lang w:val="es-MX"/>
        </w:rPr>
      </w:pPr>
    </w:p>
    <w:p w:rsidR="003B0A25" w:rsidRPr="00F2119E" w:rsidRDefault="003B0A25" w:rsidP="00402CCD">
      <w:pPr>
        <w:numPr>
          <w:ilvl w:val="0"/>
          <w:numId w:val="4"/>
        </w:numPr>
        <w:tabs>
          <w:tab w:val="left" w:pos="426"/>
        </w:tabs>
        <w:suppressAutoHyphens/>
        <w:ind w:left="426" w:hanging="426"/>
        <w:jc w:val="both"/>
        <w:rPr>
          <w:rFonts w:cs="Arial"/>
          <w:sz w:val="24"/>
          <w:szCs w:val="24"/>
        </w:rPr>
      </w:pPr>
      <w:r w:rsidRPr="00F2119E">
        <w:rPr>
          <w:rFonts w:cs="Arial"/>
          <w:sz w:val="24"/>
          <w:szCs w:val="24"/>
        </w:rPr>
        <w:t xml:space="preserve">Reconocen la relevancia de la III Conferencia Mundial sobre la Reducción del Riesgo de Desastres, que se celebrará en Japón a principios de 2015, con el objetivo de examinar la aplicación del Marco de Acción de </w:t>
      </w:r>
      <w:proofErr w:type="spellStart"/>
      <w:r w:rsidRPr="00F2119E">
        <w:rPr>
          <w:rFonts w:cs="Arial"/>
          <w:sz w:val="24"/>
          <w:szCs w:val="24"/>
        </w:rPr>
        <w:t>Hyogo</w:t>
      </w:r>
      <w:proofErr w:type="spellEnd"/>
      <w:r w:rsidRPr="00F2119E">
        <w:rPr>
          <w:rFonts w:cs="Arial"/>
          <w:sz w:val="24"/>
          <w:szCs w:val="24"/>
        </w:rPr>
        <w:t xml:space="preserve"> y adoptar un marco de reducción del riesgo de desastres post 2015.</w:t>
      </w:r>
    </w:p>
    <w:p w:rsidR="003B0A25" w:rsidRPr="007F326A" w:rsidRDefault="003B0A25" w:rsidP="00B356D2">
      <w:pPr>
        <w:tabs>
          <w:tab w:val="left" w:pos="426"/>
        </w:tabs>
        <w:ind w:left="426"/>
        <w:jc w:val="both"/>
        <w:rPr>
          <w:rFonts w:cs="Arial"/>
          <w:sz w:val="24"/>
          <w:szCs w:val="24"/>
        </w:rPr>
      </w:pPr>
    </w:p>
    <w:p w:rsidR="003B0A25" w:rsidRPr="007F326A" w:rsidRDefault="003B0A25" w:rsidP="001955AF">
      <w:pPr>
        <w:tabs>
          <w:tab w:val="left" w:pos="426"/>
        </w:tabs>
        <w:ind w:left="426"/>
        <w:jc w:val="right"/>
        <w:rPr>
          <w:rFonts w:cs="Arial"/>
          <w:sz w:val="24"/>
          <w:szCs w:val="24"/>
        </w:rPr>
      </w:pPr>
    </w:p>
    <w:p w:rsidR="00CD27B0" w:rsidRPr="007F326A" w:rsidRDefault="003B0A25" w:rsidP="001955AF">
      <w:pPr>
        <w:jc w:val="right"/>
        <w:rPr>
          <w:rFonts w:cs="Arial"/>
          <w:sz w:val="24"/>
          <w:szCs w:val="24"/>
        </w:rPr>
      </w:pPr>
      <w:r w:rsidRPr="007F326A">
        <w:rPr>
          <w:rFonts w:cs="Arial"/>
          <w:sz w:val="24"/>
          <w:szCs w:val="24"/>
        </w:rPr>
        <w:t>La Habana, 29 de enero de 2014</w:t>
      </w:r>
    </w:p>
    <w:sectPr w:rsidR="00CD27B0" w:rsidRPr="007F326A" w:rsidSect="003212AE">
      <w:footerReference w:type="default" r:id="rId9"/>
      <w:headerReference w:type="first" r:id="rId10"/>
      <w:footerReference w:type="first" r:id="rId11"/>
      <w:pgSz w:w="12242" w:h="15842" w:code="1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3E9" w:rsidRDefault="00A533E9" w:rsidP="003212AE">
      <w:r>
        <w:separator/>
      </w:r>
    </w:p>
  </w:endnote>
  <w:endnote w:type="continuationSeparator" w:id="0">
    <w:p w:rsidR="00A533E9" w:rsidRDefault="00A533E9" w:rsidP="00321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A25" w:rsidRDefault="008B1761">
    <w:pPr>
      <w:pStyle w:val="Piedepgina"/>
      <w:jc w:val="center"/>
    </w:pPr>
    <w:fldSimple w:instr=" PAGE   \* MERGEFORMAT ">
      <w:r w:rsidR="00691A50">
        <w:rPr>
          <w:noProof/>
        </w:rPr>
        <w:t>3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5F6" w:rsidRDefault="008B1761">
    <w:pPr>
      <w:pStyle w:val="Piedepgina"/>
      <w:jc w:val="center"/>
    </w:pPr>
    <w:fldSimple w:instr=" PAGE   \* MERGEFORMAT ">
      <w:r w:rsidR="00691A50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3E9" w:rsidRDefault="00A533E9" w:rsidP="003212AE">
      <w:r>
        <w:separator/>
      </w:r>
    </w:p>
  </w:footnote>
  <w:footnote w:type="continuationSeparator" w:id="0">
    <w:p w:rsidR="00A533E9" w:rsidRDefault="00A533E9" w:rsidP="003212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2AE" w:rsidRDefault="007F326A" w:rsidP="003212AE">
    <w:pPr>
      <w:jc w:val="right"/>
    </w:pPr>
    <w:r>
      <w:t>II CUMBRE</w:t>
    </w:r>
    <w:r w:rsidR="00226366">
      <w:t xml:space="preserve"> </w:t>
    </w:r>
    <w:r w:rsidR="003212AE" w:rsidRPr="003212AE">
      <w:t xml:space="preserve">Doc. </w:t>
    </w:r>
    <w:r w:rsidR="00226366">
      <w:t>3</w:t>
    </w:r>
    <w:r w:rsidR="00767BC7">
      <w:t>.17</w:t>
    </w:r>
  </w:p>
  <w:p w:rsidR="00CD27B0" w:rsidRDefault="00CD27B0" w:rsidP="003212AE">
    <w:pPr>
      <w:jc w:val="right"/>
    </w:pPr>
    <w:r>
      <w:t>E</w:t>
    </w:r>
    <w:r w:rsidR="00005D32">
      <w:t>spañol</w:t>
    </w:r>
  </w:p>
  <w:p w:rsidR="00CD27B0" w:rsidRPr="003212AE" w:rsidRDefault="00226366" w:rsidP="003212AE">
    <w:pPr>
      <w:jc w:val="right"/>
    </w:pPr>
    <w:r>
      <w:t>2</w:t>
    </w:r>
    <w:r w:rsidR="007F326A">
      <w:t>8 y 29</w:t>
    </w:r>
    <w:r w:rsidR="00005D32">
      <w:t xml:space="preserve"> </w:t>
    </w:r>
    <w:r w:rsidR="00A5117E">
      <w:t xml:space="preserve">de </w:t>
    </w:r>
    <w:r w:rsidR="00005D32">
      <w:t xml:space="preserve">enero de </w:t>
    </w:r>
    <w:r w:rsidR="00CD27B0">
      <w:t>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3.95pt;height:120.2pt" o:bullet="t">
        <v:imagedata r:id="rId1" o:title="clip_image001"/>
      </v:shape>
    </w:pict>
  </w:numPicBullet>
  <w:abstractNum w:abstractNumId="0">
    <w:nsid w:val="00000001"/>
    <w:multiLevelType w:val="multilevel"/>
    <w:tmpl w:val="00000001"/>
    <w:name w:val="WWNum42"/>
    <w:lvl w:ilvl="0">
      <w:start w:val="1"/>
      <w:numFmt w:val="decimal"/>
      <w:lvlText w:val="%1."/>
      <w:lvlJc w:val="left"/>
      <w:pPr>
        <w:tabs>
          <w:tab w:val="num" w:pos="0"/>
        </w:tabs>
        <w:ind w:left="362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341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506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578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650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722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794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866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9381" w:hanging="180"/>
      </w:pPr>
    </w:lvl>
  </w:abstractNum>
  <w:abstractNum w:abstractNumId="1">
    <w:nsid w:val="1D545BEC"/>
    <w:multiLevelType w:val="hybridMultilevel"/>
    <w:tmpl w:val="8D9E863C"/>
    <w:lvl w:ilvl="0" w:tplc="3098AE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E6B7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CA274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C6313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E0C83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6E151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8A39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36742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E8C0C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29D3FD3"/>
    <w:multiLevelType w:val="hybridMultilevel"/>
    <w:tmpl w:val="8C78598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F2C0A"/>
    <w:multiLevelType w:val="hybridMultilevel"/>
    <w:tmpl w:val="C1267A3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A25"/>
    <w:rsid w:val="00005D32"/>
    <w:rsid w:val="0001420B"/>
    <w:rsid w:val="000202B0"/>
    <w:rsid w:val="00085EEF"/>
    <w:rsid w:val="00120A58"/>
    <w:rsid w:val="001955AF"/>
    <w:rsid w:val="001C1CE5"/>
    <w:rsid w:val="00226366"/>
    <w:rsid w:val="002276B8"/>
    <w:rsid w:val="002374D3"/>
    <w:rsid w:val="00251AC1"/>
    <w:rsid w:val="003212AE"/>
    <w:rsid w:val="003A068E"/>
    <w:rsid w:val="003B0A25"/>
    <w:rsid w:val="00402CCD"/>
    <w:rsid w:val="00473CE6"/>
    <w:rsid w:val="004A4462"/>
    <w:rsid w:val="00591854"/>
    <w:rsid w:val="00691A50"/>
    <w:rsid w:val="0069509C"/>
    <w:rsid w:val="006F19B2"/>
    <w:rsid w:val="00700550"/>
    <w:rsid w:val="0072087C"/>
    <w:rsid w:val="00725237"/>
    <w:rsid w:val="00737978"/>
    <w:rsid w:val="007553AE"/>
    <w:rsid w:val="00765151"/>
    <w:rsid w:val="00767BC7"/>
    <w:rsid w:val="007F326A"/>
    <w:rsid w:val="008410F8"/>
    <w:rsid w:val="008B1761"/>
    <w:rsid w:val="008C1B9C"/>
    <w:rsid w:val="00904A0D"/>
    <w:rsid w:val="00921202"/>
    <w:rsid w:val="009B4E10"/>
    <w:rsid w:val="009D21F5"/>
    <w:rsid w:val="00A5117E"/>
    <w:rsid w:val="00A533E9"/>
    <w:rsid w:val="00A833C6"/>
    <w:rsid w:val="00AC55F6"/>
    <w:rsid w:val="00B02B76"/>
    <w:rsid w:val="00B356D2"/>
    <w:rsid w:val="00C56F56"/>
    <w:rsid w:val="00C66FB3"/>
    <w:rsid w:val="00CD27B0"/>
    <w:rsid w:val="00CF116D"/>
    <w:rsid w:val="00ED0820"/>
    <w:rsid w:val="00EE634D"/>
    <w:rsid w:val="00F2119E"/>
    <w:rsid w:val="00F32A4B"/>
    <w:rsid w:val="00F54FC2"/>
    <w:rsid w:val="00F63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854"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12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12AE"/>
  </w:style>
  <w:style w:type="paragraph" w:styleId="Piedepgina">
    <w:name w:val="footer"/>
    <w:basedOn w:val="Normal"/>
    <w:link w:val="PiedepginaCar"/>
    <w:uiPriority w:val="99"/>
    <w:unhideWhenUsed/>
    <w:rsid w:val="003212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12AE"/>
  </w:style>
  <w:style w:type="paragraph" w:styleId="Textodeglobo">
    <w:name w:val="Balloon Text"/>
    <w:basedOn w:val="Normal"/>
    <w:link w:val="TextodegloboCar"/>
    <w:uiPriority w:val="99"/>
    <w:semiHidden/>
    <w:unhideWhenUsed/>
    <w:rsid w:val="003212AE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212A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D27B0"/>
    <w:pPr>
      <w:spacing w:after="200" w:line="276" w:lineRule="auto"/>
      <w:ind w:left="720"/>
      <w:contextualSpacing/>
    </w:pPr>
  </w:style>
  <w:style w:type="paragraph" w:customStyle="1" w:styleId="Prrafodelista1">
    <w:name w:val="Párrafo de lista1"/>
    <w:basedOn w:val="Normal"/>
    <w:rsid w:val="003B0A25"/>
    <w:pPr>
      <w:suppressAutoHyphens/>
      <w:spacing w:after="200" w:line="276" w:lineRule="auto"/>
      <w:ind w:left="720"/>
    </w:pPr>
    <w:rPr>
      <w:kern w:val="1"/>
      <w:lang w:eastAsia="ar-SA"/>
    </w:rPr>
  </w:style>
  <w:style w:type="character" w:customStyle="1" w:styleId="hps">
    <w:name w:val="hps"/>
    <w:rsid w:val="00F6393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ca01\DOCUMENTOS%20CELAC%2025-29%20ENERO%20DE%202014\PLANTILLA\PLANTILLA%20DOCUMENTO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DOCUMENTOS</Template>
  <TotalTime>0</TotalTime>
  <Pages>3</Pages>
  <Words>966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Palacio de Convenciones</Company>
  <LinksUpToDate>false</LinksUpToDate>
  <CharactersWithSpaces>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jccrespo</cp:lastModifiedBy>
  <cp:revision>2</cp:revision>
  <dcterms:created xsi:type="dcterms:W3CDTF">2014-05-20T19:40:00Z</dcterms:created>
  <dcterms:modified xsi:type="dcterms:W3CDTF">2014-05-20T19:40:00Z</dcterms:modified>
</cp:coreProperties>
</file>